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257</w:t>
      </w:r>
    </w:p>
    <w:p>
      <w:r>
        <w:t>Bundesgericht (BGE), 2015-01-01, FR</w:t>
      </w:r>
    </w:p>
    <w:p>
      <w:r>
        <w:rPr>
          <w:b/>
        </w:rPr>
        <w:t xml:space="preserve">Quelle: </w:t>
      </w:r>
      <w:r>
        <w:t>https://mcp.opencaselaw.ch/entscheid/bge_141 IV 257</w:t>
      </w:r>
    </w:p>
    <w:p>
      <w:r>
        <w:t>FR: ATF 141 IV 257</w:t>
      </w:r>
    </w:p>
    <w:p>
      <w:r>
        <w:t>IT: DTF 141 IV 257</w:t>
      </w:r>
    </w:p>
    <w:p>
      <w:pPr>
        <w:pStyle w:val="Heading2"/>
      </w:pPr>
      <w:r>
        <w:t>Regeste</w:t>
      </w:r>
    </w:p>
    <w:p>
      <w:r>
        <w:t>Regeste Art. 127 Abs. 3 StPO, Art. 12 lit. a, b und c BGFA; Mehrfachvertretung in Strafsachen. Ein Anwalt kann im gleichen Strafverfahren mehrere Angeklagte vertreten (Art. 127 Abs. 3 StPO). Art. 127 Abs. 5 StPO verweist dazu auf die Berufsregeln des Anwaltsgesetzes. Aus Art. 12 lit. c BGFA ergibt sich, dass der Anwalt jegliche Interessenkonflikte zu vermeiden hat (s. auch Art. 12 lit. a und b BGFA). Diese Regeln bezwecken den Schutz der Interessen der Klientel sowie die Garantie eines korrekten Verfahrens; die Möglichkeiten eines Anwalts bei der Vertretung eines Mandanten dürfen nicht eingeschränkt sein. Diese Grundsätze sind im Strafprozess, wo es um die Verteidigung eines Angeklagten geht, besonders bedeutsam; es lässt sich nämlich nicht von vornherein ausschliessen, dass im Verlauf des Verfahrens ein Angeklagter seine Schuld einem anderen anzulasten oder zumindest zu Lasten eines anderen zu verringern versucht (E. 2.1). Die verfahrensleitende Behörde entscheidet jederzeit und von Amtes wegen über die Vertretungsbefugnis eines professionellen Rechtsbeistandes; die Möglichkeit eines Interessenkonflikts kann sich jederzeit im Verlauf des Verfahrens ergeben (E. 2.2).</w:t>
      </w:r>
    </w:p>
    <w:p>
      <w:pPr>
        <w:pStyle w:val="Heading2"/>
      </w:pPr>
      <w:r>
        <w:t>Erwägungen</w:t>
      </w:r>
    </w:p>
    <w:p>
      <w:r>
        <w:rPr>
          <w:b/>
        </w:rPr>
        <w:t>E. 2</w:t>
      </w:r>
    </w:p>
    <w:p>
      <w:r>
        <w:t>Les recourants reprochent à l'Autorité de recours en matière pénale une violation des art. 127 CPP et 12 let. c de la loi fédérale du 23 juin 2000 sur la libre circulation des avocats (LLCA; RS 935.61). Ils soutiennent à cet égard qu'il n'existerait aucun élément permettant de retenir l'existence d'un conflit d'intérêts. Selon les recourants, BGE 141 IV 257 S. 260 les faits reprochés aux deux groupes de prévenus ne seraient pas les mêmes, ceux-ci ne pouvant ainsi pas se rejeter la responsabilité mutuelle de leurs actes.</w:t>
      </w:r>
    </w:p>
    <w:p>
      <w:r>
        <w:rPr>
          <w:b/>
        </w:rPr>
        <w:t>E. 2.1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s.; arrêts 1B_376/2013 du 18 novembre 2013 consid. 3; 1B_420/2011 du 21 novembre 2011 consid. 1.2.2; 2C_688/2009 du 25 mars 2010 consid. 3.1, in SJ 2010 I p. 433). Les règles susmentionnées visent avant tout à protéger les intérêts des clients de l'avocat, en leur garantissant une défense exempte de conflit d'intérêts (arrêt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BGE 141 IV 257 S. 261 reporter ou de diminuer sa propre culpabilité sur les autres (GRODECKI/JEANDIN, Approche critique de l'interdiction de postuler chez l'avocat aux prises avec un conflit d'intérêts, SJ 2015 II p. 107 ss, n° VII p. 122 s. et les références citées).</w:t>
      </w:r>
    </w:p>
    <w:p>
      <w:r>
        <w:rPr>
          <w:b/>
        </w:rPr>
        <w:t>E. 2.2</w:t>
      </w:r>
    </w:p>
    <w:p>
      <w:r>
        <w:t>En l'occurrence, les recourants soutiennent tout d'abord que la question d'un possible conflit d'intérêts aurait été tranchée de manière définitive par la décision du Ministère public du 6 mai 2013 admettant la représentation des six prévenus par l'avocat G. Cependant, l'autorité en charge de la procédure statue d'office et en tout temps sur la capacité de postuler d'un mandataire professionnel (arrêt 1B_149/2013 du 5 septembre 2013 consid. 2.4.2 in fine). L'hypothèse d'un conflit d'intérêts peut en effet survenir au cours de la procédure, notamment en raison de son évolution ou d'un changement de circonstances, et l'autorité doit pouvoir agir. Une telle situation peut notamment résulter de nouvelles mesures d'instruction (cf. en l'espèce la liste des opérations intervenues postérieurement au 6 mai 2013) ou des audiences à venir (cf. la future séance devant l'autorité de jugement). En ce qui concerne ensuite un possible conflit d'intérêts, il ne semble pas contesté que les faits reprochés aux deux groupes de prévenus soient différents. Toutefois, ils ont manifestement trait à une même problématique, soit en substance la pratique salariale adoptée par les plaignants. Certes, le syndicaliste C. a déclaré que les trois employés en cause n'avaient rien à voir avec l'action menée par le syndicat. Cela ne permet toutefois pas d'exclure toute relation de cause à effet entre le contenu des déclarations faites au syndicat par les travailleurs - ce qui leur est, à titre individuel, reproché - et la décision de celui-ci d'agir. Cela vaut d'autant plus que le prévenu C. a aussi reconnu que si les travailleurs s'étaient opposés à leur action, celle-ci n'aurait pas eu lieu. Ce processus en cascade a été relevé avec raison par la Juge du Tribunal de police dans la décision à l'origine de cette procédure. Un tel argument pourrait d'ailleurs être invoqué afin de plaider une éventuelle atténuation de responsabilité, certes peut-être sans volonté de charger les autres co-prévenus. Cela suffit cependant pour considérer que la présence d'un mandataire commun pour les deux catégories de prévenus ne permet pas d'assurer une défense adéquate de ceux-ci. Partant, un risque concret de conflit d'intérêts existe dans cette procédure et l'Autorité de recours en matière pénale n'a pas violé le droit BGE 141 IV 257 S. 262 fédéral en confirmant l'absence de capacité de postuler de l'avocat G. dans la présente cause, que ce soit en faveur des prévenus syndicalistes ou des ex-employés des plaignants.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